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0EEAC">
      <w:pPr>
        <w:widowControl w:val="0"/>
        <w:snapToGrid w:val="0"/>
        <w:spacing w:after="0" w:line="440" w:lineRule="exact"/>
        <w:jc w:val="center"/>
        <w:rPr>
          <w:rFonts w:hint="eastAsia" w:ascii="Times New Roman" w:hAnsi="Times New Roman" w:eastAsia="方正小标宋简体" w:cs="Times New Roman"/>
          <w:color w:val="000000"/>
          <w:kern w:val="2"/>
          <w:sz w:val="32"/>
          <w:szCs w:val="32"/>
          <w:lang w:eastAsia="zh-CN"/>
        </w:rPr>
      </w:pPr>
      <w:r>
        <w:rPr>
          <w:rFonts w:hint="eastAsia" w:ascii="Times New Roman" w:hAnsi="Times New Roman" w:eastAsia="方正小标宋简体" w:cs="Times New Roman"/>
          <w:color w:val="000000"/>
          <w:kern w:val="2"/>
          <w:sz w:val="32"/>
          <w:szCs w:val="32"/>
          <w:lang w:eastAsia="zh-CN"/>
        </w:rPr>
        <w:t>2026年北京市燃油汽车发动机冷却液产品质量监督抽查</w:t>
      </w:r>
    </w:p>
    <w:p w14:paraId="77743847">
      <w:pPr>
        <w:widowControl w:val="0"/>
        <w:snapToGrid w:val="0"/>
        <w:spacing w:after="0" w:line="440" w:lineRule="exact"/>
        <w:jc w:val="center"/>
        <w:rPr>
          <w:rFonts w:hint="eastAsia" w:ascii="Times New Roman" w:hAnsi="Times New Roman" w:eastAsia="方正小标宋简体" w:cs="Times New Roman"/>
          <w:color w:val="000000"/>
          <w:kern w:val="2"/>
          <w:sz w:val="32"/>
          <w:szCs w:val="32"/>
          <w:lang w:eastAsia="zh-CN"/>
        </w:rPr>
      </w:pPr>
      <w:r>
        <w:rPr>
          <w:rFonts w:hint="eastAsia" w:ascii="Times New Roman" w:hAnsi="Times New Roman" w:eastAsia="方正小标宋简体" w:cs="Times New Roman"/>
          <w:color w:val="000000"/>
          <w:kern w:val="2"/>
          <w:sz w:val="32"/>
          <w:szCs w:val="32"/>
          <w:lang w:eastAsia="zh-CN"/>
        </w:rPr>
        <w:t>实施细则</w:t>
      </w:r>
    </w:p>
    <w:p w14:paraId="410BFCF8">
      <w:pPr>
        <w:spacing w:line="240" w:lineRule="auto"/>
      </w:pPr>
    </w:p>
    <w:p w14:paraId="62F5052F">
      <w:pPr>
        <w:widowControl w:val="0"/>
        <w:snapToGrid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1 抽样方法</w:t>
      </w:r>
    </w:p>
    <w:p w14:paraId="51569700">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以随机抽样的方式在被抽样生产者、销售者的待销产品中抽取。</w:t>
      </w:r>
    </w:p>
    <w:p w14:paraId="0FB4F4DF">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随机数一般可使用随机数表等方法产生。</w:t>
      </w:r>
    </w:p>
    <w:p w14:paraId="007BC03C">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抽样基数满足抽样数量即可，每批次产品抽取不少于2个最小独立包装，总量不少于7kg的样品，检验样品不少于3.5kg，备用样品不少于3.5kg；当在成品</w:t>
      </w:r>
      <w:bookmarkStart w:id="0" w:name="_GoBack"/>
      <w:bookmarkEnd w:id="0"/>
      <w:r>
        <w:rPr>
          <w:rFonts w:ascii="Times New Roman" w:hAnsi="Times New Roman" w:cs="Times New Roman"/>
          <w:color w:val="000000"/>
          <w:kern w:val="2"/>
          <w:sz w:val="21"/>
          <w:szCs w:val="21"/>
          <w:lang w:eastAsia="zh-CN"/>
        </w:rPr>
        <w:t>罐抽样时，应按SH/T 0065—1991《发动机冷却液或防锈剂试验样品的取样及其水溶液的配制》取样，抽取7kg样品，平均分为2组，其中1组为检验样品，另1组为备用样品。</w:t>
      </w:r>
    </w:p>
    <w:p w14:paraId="6E0E9086">
      <w:pPr>
        <w:widowControl w:val="0"/>
        <w:snapToGrid w:val="0"/>
        <w:spacing w:after="0" w:line="240" w:lineRule="auto"/>
        <w:ind w:firstLine="420" w:firstLineChars="200"/>
        <w:jc w:val="both"/>
        <w:rPr>
          <w:rFonts w:ascii="Times New Roman" w:hAnsi="Times New Roman" w:cs="Times New Roman"/>
          <w:color w:val="000000"/>
          <w:kern w:val="2"/>
          <w:sz w:val="21"/>
          <w:szCs w:val="21"/>
          <w:lang w:eastAsia="zh-CN"/>
        </w:rPr>
      </w:pPr>
    </w:p>
    <w:p w14:paraId="60DDE18D">
      <w:pPr>
        <w:widowControl w:val="0"/>
        <w:snapToGrid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2 检验依据</w:t>
      </w:r>
    </w:p>
    <w:p w14:paraId="5159E1ED">
      <w:pPr>
        <w:widowControl w:val="0"/>
        <w:snapToGrid w:val="0"/>
        <w:spacing w:after="0" w:line="240" w:lineRule="auto"/>
        <w:jc w:val="both"/>
        <w:rPr>
          <w:rFonts w:ascii="Times New Roman" w:hAnsi="Times New Roman" w:eastAsia="黑体" w:cs="Times New Roman"/>
          <w:color w:val="000000"/>
          <w:kern w:val="2"/>
          <w:sz w:val="21"/>
          <w:szCs w:val="21"/>
          <w:lang w:eastAsia="zh-CN"/>
        </w:rPr>
      </w:pPr>
    </w:p>
    <w:tbl>
      <w:tblPr>
        <w:tblStyle w:val="33"/>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551"/>
        <w:gridCol w:w="2835"/>
        <w:gridCol w:w="2835"/>
      </w:tblGrid>
      <w:tr w14:paraId="1E4B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50" w:type="dxa"/>
            <w:vAlign w:val="center"/>
          </w:tcPr>
          <w:p w14:paraId="1922BB3C">
            <w:pPr>
              <w:spacing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序号</w:t>
            </w:r>
          </w:p>
        </w:tc>
        <w:tc>
          <w:tcPr>
            <w:tcW w:w="2551" w:type="dxa"/>
            <w:vAlign w:val="center"/>
          </w:tcPr>
          <w:p w14:paraId="7814EC6E">
            <w:pPr>
              <w:spacing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检验项目</w:t>
            </w:r>
          </w:p>
        </w:tc>
        <w:tc>
          <w:tcPr>
            <w:tcW w:w="2835" w:type="dxa"/>
            <w:vAlign w:val="center"/>
          </w:tcPr>
          <w:p w14:paraId="0FDB8EF4">
            <w:pPr>
              <w:spacing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检验依据</w:t>
            </w:r>
          </w:p>
        </w:tc>
        <w:tc>
          <w:tcPr>
            <w:tcW w:w="2835" w:type="dxa"/>
            <w:vAlign w:val="center"/>
          </w:tcPr>
          <w:p w14:paraId="16876387">
            <w:pPr>
              <w:spacing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检验方法</w:t>
            </w:r>
          </w:p>
        </w:tc>
      </w:tr>
      <w:tr w14:paraId="436D5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850" w:type="dxa"/>
            <w:vMerge w:val="restart"/>
            <w:tcBorders>
              <w:top w:val="single" w:color="000000" w:sz="4" w:space="0"/>
              <w:left w:val="single" w:color="000000" w:sz="4" w:space="0"/>
              <w:right w:val="single" w:color="000000" w:sz="4" w:space="0"/>
            </w:tcBorders>
            <w:vAlign w:val="center"/>
          </w:tcPr>
          <w:p w14:paraId="437BBD5A">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1</w:t>
            </w:r>
          </w:p>
        </w:tc>
        <w:tc>
          <w:tcPr>
            <w:tcW w:w="2551" w:type="dxa"/>
            <w:vMerge w:val="restart"/>
            <w:tcBorders>
              <w:top w:val="single" w:color="000000" w:sz="4" w:space="0"/>
              <w:left w:val="single" w:color="000000" w:sz="4" w:space="0"/>
              <w:right w:val="single" w:color="000000" w:sz="4" w:space="0"/>
            </w:tcBorders>
            <w:vAlign w:val="center"/>
          </w:tcPr>
          <w:p w14:paraId="6FDECC99">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密度（20.0℃）</w:t>
            </w:r>
          </w:p>
        </w:tc>
        <w:tc>
          <w:tcPr>
            <w:tcW w:w="2835" w:type="dxa"/>
            <w:tcBorders>
              <w:top w:val="single" w:color="000000" w:sz="4" w:space="0"/>
              <w:left w:val="single" w:color="000000" w:sz="4" w:space="0"/>
              <w:bottom w:val="single" w:color="000000" w:sz="4" w:space="0"/>
              <w:right w:val="single" w:color="000000" w:sz="4" w:space="0"/>
            </w:tcBorders>
            <w:vAlign w:val="center"/>
          </w:tcPr>
          <w:p w14:paraId="39BC18F9">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29743.1—2022</w:t>
            </w:r>
          </w:p>
        </w:tc>
        <w:tc>
          <w:tcPr>
            <w:tcW w:w="2835" w:type="dxa"/>
            <w:tcBorders>
              <w:top w:val="single" w:color="000000" w:sz="4" w:space="0"/>
              <w:left w:val="single" w:color="000000" w:sz="4" w:space="0"/>
              <w:bottom w:val="single" w:color="000000" w:sz="4" w:space="0"/>
              <w:right w:val="single" w:color="000000" w:sz="4" w:space="0"/>
            </w:tcBorders>
            <w:vAlign w:val="center"/>
          </w:tcPr>
          <w:p w14:paraId="2531B8E3">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SH/T 0068—2002</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SH/T 0604—2000</w:t>
            </w:r>
          </w:p>
        </w:tc>
      </w:tr>
      <w:tr w14:paraId="4BF95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850" w:type="dxa"/>
            <w:vMerge w:val="continue"/>
            <w:tcBorders>
              <w:left w:val="single" w:color="000000" w:sz="4" w:space="0"/>
              <w:bottom w:val="single" w:color="000000" w:sz="4" w:space="0"/>
              <w:right w:val="single" w:color="000000" w:sz="4" w:space="0"/>
            </w:tcBorders>
            <w:vAlign w:val="center"/>
          </w:tcPr>
          <w:p w14:paraId="00C98449">
            <w:pPr>
              <w:spacing w:before="0" w:after="0" w:line="240" w:lineRule="auto"/>
              <w:jc w:val="center"/>
            </w:pPr>
          </w:p>
        </w:tc>
        <w:tc>
          <w:tcPr>
            <w:tcW w:w="2551" w:type="dxa"/>
            <w:vMerge w:val="continue"/>
            <w:tcBorders>
              <w:left w:val="single" w:color="000000" w:sz="4" w:space="0"/>
              <w:bottom w:val="single" w:color="000000" w:sz="4" w:space="0"/>
              <w:right w:val="single" w:color="000000" w:sz="4" w:space="0"/>
            </w:tcBorders>
            <w:vAlign w:val="center"/>
          </w:tcPr>
          <w:p w14:paraId="2497AEBF">
            <w:pPr>
              <w:spacing w:before="0" w:after="0" w:line="240" w:lineRule="auto"/>
              <w:jc w:val="center"/>
            </w:pPr>
          </w:p>
        </w:tc>
        <w:tc>
          <w:tcPr>
            <w:tcW w:w="2835" w:type="dxa"/>
            <w:tcBorders>
              <w:top w:val="single" w:color="000000" w:sz="4" w:space="0"/>
              <w:left w:val="single" w:color="000000" w:sz="4" w:space="0"/>
              <w:bottom w:val="single" w:color="000000" w:sz="4" w:space="0"/>
              <w:right w:val="single" w:color="000000" w:sz="4" w:space="0"/>
            </w:tcBorders>
            <w:vAlign w:val="center"/>
          </w:tcPr>
          <w:p w14:paraId="556331BC">
            <w:pPr>
              <w:spacing w:before="0" w:after="0" w:line="240" w:lineRule="auto"/>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NB/SH/T 0521—2010</w:t>
            </w:r>
          </w:p>
        </w:tc>
        <w:tc>
          <w:tcPr>
            <w:tcW w:w="2835" w:type="dxa"/>
            <w:tcBorders>
              <w:top w:val="single" w:color="000000" w:sz="4" w:space="0"/>
              <w:left w:val="single" w:color="000000" w:sz="4" w:space="0"/>
              <w:bottom w:val="single" w:color="000000" w:sz="4" w:space="0"/>
              <w:right w:val="single" w:color="000000" w:sz="4" w:space="0"/>
            </w:tcBorders>
            <w:vAlign w:val="center"/>
          </w:tcPr>
          <w:p w14:paraId="79A1562D">
            <w:pPr>
              <w:spacing w:before="0" w:after="0" w:line="240" w:lineRule="auto"/>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SH/T 0068—2002</w:t>
            </w:r>
          </w:p>
        </w:tc>
      </w:tr>
      <w:tr w14:paraId="3329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vAlign w:val="center"/>
          </w:tcPr>
          <w:p w14:paraId="0D31C2CB">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2</w:t>
            </w:r>
          </w:p>
        </w:tc>
        <w:tc>
          <w:tcPr>
            <w:tcW w:w="2551" w:type="dxa"/>
            <w:tcBorders>
              <w:top w:val="single" w:color="000000" w:sz="4" w:space="0"/>
              <w:left w:val="single" w:color="000000" w:sz="4" w:space="0"/>
              <w:bottom w:val="single" w:color="000000" w:sz="4" w:space="0"/>
              <w:right w:val="single" w:color="000000" w:sz="4" w:space="0"/>
            </w:tcBorders>
            <w:vAlign w:val="center"/>
          </w:tcPr>
          <w:p w14:paraId="165478C8">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冰点</w:t>
            </w:r>
          </w:p>
        </w:tc>
        <w:tc>
          <w:tcPr>
            <w:tcW w:w="2835" w:type="dxa"/>
            <w:tcBorders>
              <w:top w:val="single" w:color="000000" w:sz="4" w:space="0"/>
              <w:left w:val="single" w:color="000000" w:sz="4" w:space="0"/>
              <w:bottom w:val="single" w:color="000000" w:sz="4" w:space="0"/>
              <w:right w:val="single" w:color="000000" w:sz="4" w:space="0"/>
            </w:tcBorders>
            <w:vAlign w:val="center"/>
          </w:tcPr>
          <w:p w14:paraId="404FA68A">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29743.1—2022</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NB/SH/T 0521—2010</w:t>
            </w:r>
          </w:p>
        </w:tc>
        <w:tc>
          <w:tcPr>
            <w:tcW w:w="2835" w:type="dxa"/>
            <w:tcBorders>
              <w:top w:val="single" w:color="000000" w:sz="4" w:space="0"/>
              <w:left w:val="single" w:color="000000" w:sz="4" w:space="0"/>
              <w:bottom w:val="single" w:color="000000" w:sz="4" w:space="0"/>
              <w:right w:val="single" w:color="000000" w:sz="4" w:space="0"/>
            </w:tcBorders>
            <w:vAlign w:val="center"/>
          </w:tcPr>
          <w:p w14:paraId="3C10910D">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SH/T 0090—1991</w:t>
            </w:r>
          </w:p>
        </w:tc>
      </w:tr>
      <w:tr w14:paraId="1D310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vAlign w:val="center"/>
          </w:tcPr>
          <w:p w14:paraId="4F4ADD03">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3</w:t>
            </w:r>
          </w:p>
        </w:tc>
        <w:tc>
          <w:tcPr>
            <w:tcW w:w="2551" w:type="dxa"/>
            <w:tcBorders>
              <w:top w:val="single" w:color="000000" w:sz="4" w:space="0"/>
              <w:left w:val="single" w:color="000000" w:sz="4" w:space="0"/>
              <w:bottom w:val="single" w:color="000000" w:sz="4" w:space="0"/>
              <w:right w:val="single" w:color="000000" w:sz="4" w:space="0"/>
            </w:tcBorders>
            <w:vAlign w:val="center"/>
          </w:tcPr>
          <w:p w14:paraId="232B68F0">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沸点</w:t>
            </w:r>
          </w:p>
        </w:tc>
        <w:tc>
          <w:tcPr>
            <w:tcW w:w="2835" w:type="dxa"/>
            <w:tcBorders>
              <w:top w:val="single" w:color="000000" w:sz="4" w:space="0"/>
              <w:left w:val="single" w:color="000000" w:sz="4" w:space="0"/>
              <w:bottom w:val="single" w:color="000000" w:sz="4" w:space="0"/>
              <w:right w:val="single" w:color="000000" w:sz="4" w:space="0"/>
            </w:tcBorders>
            <w:vAlign w:val="center"/>
          </w:tcPr>
          <w:p w14:paraId="0462935C">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29743.1—2022</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NB/SH/T 0521—2010</w:t>
            </w:r>
          </w:p>
        </w:tc>
        <w:tc>
          <w:tcPr>
            <w:tcW w:w="2835" w:type="dxa"/>
            <w:tcBorders>
              <w:top w:val="single" w:color="000000" w:sz="4" w:space="0"/>
              <w:left w:val="single" w:color="000000" w:sz="4" w:space="0"/>
              <w:bottom w:val="single" w:color="000000" w:sz="4" w:space="0"/>
              <w:right w:val="single" w:color="000000" w:sz="4" w:space="0"/>
            </w:tcBorders>
            <w:vAlign w:val="center"/>
          </w:tcPr>
          <w:p w14:paraId="55230A9F">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SH/T 0089—1991</w:t>
            </w:r>
          </w:p>
        </w:tc>
      </w:tr>
      <w:tr w14:paraId="0D2D6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vAlign w:val="center"/>
          </w:tcPr>
          <w:p w14:paraId="35401047">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4</w:t>
            </w:r>
          </w:p>
        </w:tc>
        <w:tc>
          <w:tcPr>
            <w:tcW w:w="2551" w:type="dxa"/>
            <w:tcBorders>
              <w:top w:val="single" w:color="000000" w:sz="4" w:space="0"/>
              <w:left w:val="single" w:color="000000" w:sz="4" w:space="0"/>
              <w:bottom w:val="single" w:color="000000" w:sz="4" w:space="0"/>
              <w:right w:val="single" w:color="000000" w:sz="4" w:space="0"/>
            </w:tcBorders>
            <w:vAlign w:val="center"/>
          </w:tcPr>
          <w:p w14:paraId="1F264D41">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pH</w:t>
            </w:r>
          </w:p>
        </w:tc>
        <w:tc>
          <w:tcPr>
            <w:tcW w:w="2835" w:type="dxa"/>
            <w:tcBorders>
              <w:top w:val="single" w:color="000000" w:sz="4" w:space="0"/>
              <w:left w:val="single" w:color="000000" w:sz="4" w:space="0"/>
              <w:bottom w:val="single" w:color="000000" w:sz="4" w:space="0"/>
              <w:right w:val="single" w:color="000000" w:sz="4" w:space="0"/>
            </w:tcBorders>
            <w:vAlign w:val="center"/>
          </w:tcPr>
          <w:p w14:paraId="2D6A359F">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29743.1—2022</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NB/SH/T 0521—2010</w:t>
            </w:r>
          </w:p>
        </w:tc>
        <w:tc>
          <w:tcPr>
            <w:tcW w:w="2835" w:type="dxa"/>
            <w:tcBorders>
              <w:top w:val="single" w:color="000000" w:sz="4" w:space="0"/>
              <w:left w:val="single" w:color="000000" w:sz="4" w:space="0"/>
              <w:bottom w:val="single" w:color="000000" w:sz="4" w:space="0"/>
              <w:right w:val="single" w:color="000000" w:sz="4" w:space="0"/>
            </w:tcBorders>
            <w:vAlign w:val="center"/>
          </w:tcPr>
          <w:p w14:paraId="06E2A181">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SH/T 0069—1991</w:t>
            </w:r>
          </w:p>
        </w:tc>
      </w:tr>
      <w:tr w14:paraId="6AD9C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vAlign w:val="center"/>
          </w:tcPr>
          <w:p w14:paraId="20C1D1F3">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5</w:t>
            </w:r>
          </w:p>
        </w:tc>
        <w:tc>
          <w:tcPr>
            <w:tcW w:w="2551" w:type="dxa"/>
            <w:tcBorders>
              <w:top w:val="single" w:color="000000" w:sz="4" w:space="0"/>
              <w:left w:val="single" w:color="000000" w:sz="4" w:space="0"/>
              <w:bottom w:val="single" w:color="000000" w:sz="4" w:space="0"/>
              <w:right w:val="single" w:color="000000" w:sz="4" w:space="0"/>
            </w:tcBorders>
            <w:vAlign w:val="center"/>
          </w:tcPr>
          <w:p w14:paraId="5915D327">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玻璃器皿腐蚀</w:t>
            </w:r>
          </w:p>
        </w:tc>
        <w:tc>
          <w:tcPr>
            <w:tcW w:w="2835" w:type="dxa"/>
            <w:tcBorders>
              <w:top w:val="single" w:color="000000" w:sz="4" w:space="0"/>
              <w:left w:val="single" w:color="000000" w:sz="4" w:space="0"/>
              <w:bottom w:val="single" w:color="000000" w:sz="4" w:space="0"/>
              <w:right w:val="single" w:color="000000" w:sz="4" w:space="0"/>
            </w:tcBorders>
            <w:vAlign w:val="center"/>
          </w:tcPr>
          <w:p w14:paraId="00B53688">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29743.1—2022</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NB/SH/T 0521—2010</w:t>
            </w:r>
          </w:p>
        </w:tc>
        <w:tc>
          <w:tcPr>
            <w:tcW w:w="2835" w:type="dxa"/>
            <w:tcBorders>
              <w:top w:val="single" w:color="000000" w:sz="4" w:space="0"/>
              <w:left w:val="single" w:color="000000" w:sz="4" w:space="0"/>
              <w:bottom w:val="single" w:color="000000" w:sz="4" w:space="0"/>
              <w:right w:val="single" w:color="000000" w:sz="4" w:space="0"/>
            </w:tcBorders>
            <w:vAlign w:val="center"/>
          </w:tcPr>
          <w:p w14:paraId="062C8531">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SH/T 0085—1991</w:t>
            </w:r>
          </w:p>
        </w:tc>
      </w:tr>
      <w:tr w14:paraId="6475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vAlign w:val="center"/>
          </w:tcPr>
          <w:p w14:paraId="32E315C1">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6</w:t>
            </w:r>
          </w:p>
        </w:tc>
        <w:tc>
          <w:tcPr>
            <w:tcW w:w="2551" w:type="dxa"/>
            <w:tcBorders>
              <w:top w:val="single" w:color="000000" w:sz="4" w:space="0"/>
              <w:left w:val="single" w:color="000000" w:sz="4" w:space="0"/>
              <w:bottom w:val="single" w:color="000000" w:sz="4" w:space="0"/>
              <w:right w:val="single" w:color="000000" w:sz="4" w:space="0"/>
            </w:tcBorders>
            <w:vAlign w:val="center"/>
          </w:tcPr>
          <w:p w14:paraId="183760A9">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泡沫倾向</w:t>
            </w:r>
          </w:p>
        </w:tc>
        <w:tc>
          <w:tcPr>
            <w:tcW w:w="2835" w:type="dxa"/>
            <w:tcBorders>
              <w:top w:val="single" w:color="000000" w:sz="4" w:space="0"/>
              <w:left w:val="single" w:color="000000" w:sz="4" w:space="0"/>
              <w:bottom w:val="single" w:color="000000" w:sz="4" w:space="0"/>
              <w:right w:val="single" w:color="000000" w:sz="4" w:space="0"/>
            </w:tcBorders>
            <w:vAlign w:val="center"/>
          </w:tcPr>
          <w:p w14:paraId="22A0D459">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29743.1—2022</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NB/SH/T 0521—2010</w:t>
            </w:r>
          </w:p>
        </w:tc>
        <w:tc>
          <w:tcPr>
            <w:tcW w:w="2835" w:type="dxa"/>
            <w:tcBorders>
              <w:top w:val="single" w:color="000000" w:sz="4" w:space="0"/>
              <w:left w:val="single" w:color="000000" w:sz="4" w:space="0"/>
              <w:bottom w:val="single" w:color="000000" w:sz="4" w:space="0"/>
              <w:right w:val="single" w:color="000000" w:sz="4" w:space="0"/>
            </w:tcBorders>
            <w:vAlign w:val="center"/>
          </w:tcPr>
          <w:p w14:paraId="3F54B272">
            <w:pPr>
              <w:spacing w:before="0" w:after="0" w:line="24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SH/T 0066—2002</w:t>
            </w:r>
          </w:p>
        </w:tc>
      </w:tr>
    </w:tbl>
    <w:p w14:paraId="4AF778A0">
      <w:pPr>
        <w:spacing w:line="240" w:lineRule="auto"/>
        <w:rPr>
          <w:sz w:val="21"/>
          <w:szCs w:val="21"/>
        </w:rPr>
      </w:pPr>
    </w:p>
    <w:p w14:paraId="38289941">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执行企业标准、团体标准、地方标准的产品，检验项目参照上述内容执行。</w:t>
      </w:r>
    </w:p>
    <w:p w14:paraId="7B302750">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凡是注日期的文件，其随后所有的修改单（不包括勘误的内容）或修订版不适用于本细则。凡是不注日期的文件，其最新版本适用于本细则。</w:t>
      </w:r>
    </w:p>
    <w:p w14:paraId="56BE0A27">
      <w:pPr>
        <w:spacing w:line="240" w:lineRule="auto"/>
        <w:rPr>
          <w:sz w:val="21"/>
          <w:szCs w:val="21"/>
        </w:rPr>
      </w:pPr>
    </w:p>
    <w:p w14:paraId="36F0F1A6">
      <w:pPr>
        <w:widowControl w:val="0"/>
        <w:snapToGrid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3 判定规则</w:t>
      </w:r>
    </w:p>
    <w:p w14:paraId="78F55B5D">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3.1 依据标准</w:t>
      </w:r>
    </w:p>
    <w:p w14:paraId="07F8672C">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GB 29743.1—2022 机动车冷却液 第1部分：燃油汽车发动机冷却液</w:t>
      </w:r>
    </w:p>
    <w:p w14:paraId="032D910A">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NB/SH/T 0521—2010 乙二醇型和丙二醇型发动机冷却液</w:t>
      </w:r>
    </w:p>
    <w:p w14:paraId="5E190CFB">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现行有效的企业标准、团体标准、地方标准及产品明示质量要求</w:t>
      </w:r>
    </w:p>
    <w:p w14:paraId="3D268004">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3.2 判定原则</w:t>
      </w:r>
    </w:p>
    <w:p w14:paraId="37344309">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经检验，检验项目全部合格，判定为被抽查产品所检项目未发现不合格；检验项目中任一项或一项以上不合格，判定为被抽查产品不合格。</w:t>
      </w:r>
    </w:p>
    <w:p w14:paraId="18A03AC2">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若被检产品明示的质量要求高于本细则中检验项目依据的标准要求时，应按被检产品明示的质量要求判定。</w:t>
      </w:r>
    </w:p>
    <w:p w14:paraId="12666270">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若被检产品明示的质量要求低于本细则中检验项目依据的强制性标准要求时，应按照强制性标准要求判定。</w:t>
      </w:r>
    </w:p>
    <w:p w14:paraId="16A8DEEE">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若被检产品明示的质量要求低于或包含本细则中检验项目依据的推荐性标准要求时，应以被检产品明示的质量要求判定。</w:t>
      </w:r>
    </w:p>
    <w:p w14:paraId="51764634">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若被检产品明示的质量要求缺少本细则中检验项目依据的强制性标准要求时，应按照强制性标准要求判定。</w:t>
      </w:r>
    </w:p>
    <w:p w14:paraId="1C09596C">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若被检产品明示的质量要求缺少本细则中检验项目依据的推荐性标准要求时，该项目不参与判定。</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00000001" w:usb1="080E0000" w:usb2="00000000" w:usb3="00000000" w:csb0="0004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4C609C8"/>
    <w:rsid w:val="20307F59"/>
    <w:rsid w:val="328B74A5"/>
    <w:rsid w:val="32BD1CB6"/>
    <w:rsid w:val="4C94253F"/>
    <w:rsid w:val="5118515B"/>
    <w:rsid w:val="69F44906"/>
    <w:rsid w:val="761552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8"/>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776</Words>
  <Characters>1095</Characters>
  <Lines>0</Lines>
  <Paragraphs>0</Paragraphs>
  <TotalTime>2</TotalTime>
  <ScaleCrop>false</ScaleCrop>
  <LinksUpToDate>false</LinksUpToDate>
  <CharactersWithSpaces>1127</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zw</cp:lastModifiedBy>
  <dcterms:modified xsi:type="dcterms:W3CDTF">2026-07-02T02:21:40Z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eyJoZGlkIjoiYjU4YTEyOWI0YTA1NzExMDUyM2E4NzRjZjM1MmQ2OWEiLCJ1c2VySWQiOiIxMTI2NTcyODI0In0=</vt:lpwstr>
  </property>
  <property fmtid="{D5CDD505-2E9C-101B-9397-08002B2CF9AE}" pid="3" name="KSOProductBuildVer">
    <vt:lpwstr>2052-12.1.0.23122</vt:lpwstr>
  </property>
  <property fmtid="{D5CDD505-2E9C-101B-9397-08002B2CF9AE}" pid="4" name="ICV">
    <vt:lpwstr>EA874085ADBA4529A7E9C20E4C8D94C9_13</vt:lpwstr>
  </property>
</Properties>
</file>